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A2C5" w14:textId="74773BB6" w:rsidR="00E777F7" w:rsidRDefault="00DA081D" w:rsidP="00980FDC">
      <w:pPr>
        <w:widowControl w:val="0"/>
        <w:autoSpaceDE w:val="0"/>
        <w:autoSpaceDN w:val="0"/>
        <w:adjustRightInd w:val="0"/>
        <w:spacing w:after="100" w:afterAutospacing="1"/>
        <w:rPr>
          <w:b/>
          <w:color w:val="000000"/>
          <w:sz w:val="32"/>
          <w:lang w:bidi="th-TH"/>
        </w:rPr>
      </w:pPr>
      <w:r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79673B9F" wp14:editId="797A5FD6">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03C9D2CA" w14:textId="00355EBE"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CE3628">
                              <w:rPr>
                                <w:rFonts w:ascii="Arial" w:hAnsi="Arial" w:cs="Arial"/>
                                <w:b/>
                                <w:color w:val="000000"/>
                                <w:sz w:val="28"/>
                                <w:lang w:bidi="th-TH"/>
                              </w:rPr>
                              <w:t xml:space="preserve">June </w:t>
                            </w:r>
                            <w:r w:rsidR="006E6979">
                              <w:rPr>
                                <w:rFonts w:ascii="Arial" w:hAnsi="Arial" w:cs="Arial"/>
                                <w:b/>
                                <w:color w:val="000000"/>
                                <w:sz w:val="28"/>
                                <w:lang w:bidi="th-TH"/>
                              </w:rPr>
                              <w:t>14, 2019</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9673B9F" id="_x0000_t202" coordsize="21600,21600" o:spt="202" path="m,l,21600r21600,l21600,xe">
                <v:stroke joinstyle="miter"/>
                <v:path gradientshapeok="t" o:connecttype="rect"/>
              </v:shapetype>
              <v:shape id="Text Box 2" o:spid="_x0000_s1026"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" fillcolor="#8db3e2 [1311]" stroked="f">
                <v:textbox inset=",2.16pt,,0">
                  <w:txbxContent>
                    <w:p w14:paraId="03C9D2CA" w14:textId="00355EBE"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CE3628">
                        <w:rPr>
                          <w:rFonts w:ascii="Arial" w:hAnsi="Arial" w:cs="Arial"/>
                          <w:b/>
                          <w:color w:val="000000"/>
                          <w:sz w:val="28"/>
                          <w:lang w:bidi="th-TH"/>
                        </w:rPr>
                        <w:t xml:space="preserve">June </w:t>
                      </w:r>
                      <w:r w:rsidR="006E6979">
                        <w:rPr>
                          <w:rFonts w:ascii="Arial" w:hAnsi="Arial" w:cs="Arial"/>
                          <w:b/>
                          <w:color w:val="000000"/>
                          <w:sz w:val="28"/>
                          <w:lang w:bidi="th-TH"/>
                        </w:rPr>
                        <w:t>14, 2019</w:t>
                      </w:r>
                    </w:p>
                  </w:txbxContent>
                </v:textbox>
                <w10:wrap type="square"/>
              </v:shape>
            </w:pict>
          </mc:Fallback>
        </mc:AlternateContent>
      </w:r>
      <w:r w:rsidRPr="00E777F7">
        <w:rPr>
          <w:b/>
          <w:noProof/>
          <w:color w:val="000000"/>
          <w:sz w:val="32"/>
        </w:rPr>
        <mc:AlternateContent>
          <mc:Choice Requires="wps">
            <w:drawing>
              <wp:anchor distT="0" distB="0" distL="114300" distR="114300" simplePos="0" relativeHeight="251662336" behindDoc="0" locked="0" layoutInCell="1" allowOverlap="1" wp14:anchorId="72A6250F" wp14:editId="67E54C22">
                <wp:simplePos x="0" y="0"/>
                <wp:positionH relativeFrom="column">
                  <wp:posOffset>5373329</wp:posOffset>
                </wp:positionH>
                <wp:positionV relativeFrom="paragraph">
                  <wp:posOffset>-145915</wp:posOffset>
                </wp:positionV>
                <wp:extent cx="1644785" cy="9144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785" cy="914400"/>
                        </a:xfrm>
                        <a:prstGeom prst="rect">
                          <a:avLst/>
                        </a:prstGeom>
                        <a:solidFill>
                          <a:srgbClr val="FFFFFF"/>
                        </a:solidFill>
                        <a:ln w="9525">
                          <a:noFill/>
                          <a:miter lim="800000"/>
                          <a:headEnd/>
                          <a:tailEnd/>
                        </a:ln>
                      </wps:spPr>
                      <wps:txb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250F" id="_x0000_s1027" type="#_x0000_t202" style="position:absolute;margin-left:423.1pt;margin-top:-11.5pt;width:12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" stroked="f">
                <v:textbo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v:textbox>
              </v:shape>
            </w:pict>
          </mc:Fallback>
        </mc:AlternateContent>
      </w:r>
      <w:r>
        <w:rPr>
          <w:rFonts w:ascii="Arial" w:hAnsi="Arial" w:cs="Arial"/>
          <w:b/>
          <w:noProof/>
          <w:color w:val="000000"/>
          <w:sz w:val="32"/>
        </w:rPr>
        <w:drawing>
          <wp:inline distT="0" distB="0" distL="0" distR="0" wp14:anchorId="4DE41519" wp14:editId="0B0D29A7">
            <wp:extent cx="5445806" cy="9626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3828" cy="1002968"/>
                    </a:xfrm>
                    <a:prstGeom prst="rect">
                      <a:avLst/>
                    </a:prstGeom>
                  </pic:spPr>
                </pic:pic>
              </a:graphicData>
            </a:graphic>
          </wp:inline>
        </w:drawing>
      </w:r>
    </w:p>
    <w:p w14:paraId="3CFA8672" w14:textId="36A45ADC" w:rsidR="00DA081D" w:rsidRDefault="00DA081D" w:rsidP="00F417F6">
      <w:pPr>
        <w:widowControl w:val="0"/>
        <w:autoSpaceDE w:val="0"/>
        <w:autoSpaceDN w:val="0"/>
        <w:adjustRightInd w:val="0"/>
        <w:rPr>
          <w:rFonts w:ascii="Arial" w:hAnsi="Arial" w:cs="Arial"/>
          <w:b/>
          <w:color w:val="000000"/>
          <w:lang w:bidi="th-TH"/>
        </w:rPr>
      </w:pPr>
    </w:p>
    <w:p w14:paraId="0506676A" w14:textId="2BF9B05E" w:rsidR="0019513A" w:rsidRDefault="0019513A" w:rsidP="00F417F6">
      <w:pPr>
        <w:widowControl w:val="0"/>
        <w:autoSpaceDE w:val="0"/>
        <w:autoSpaceDN w:val="0"/>
        <w:adjustRightInd w:val="0"/>
        <w:rPr>
          <w:rFonts w:ascii="Arial" w:hAnsi="Arial" w:cs="Arial"/>
          <w:b/>
          <w:color w:val="000000"/>
          <w:sz w:val="32"/>
          <w:szCs w:val="32"/>
          <w:lang w:bidi="th-TH"/>
        </w:rPr>
      </w:pPr>
      <w:r>
        <w:rPr>
          <w:rFonts w:ascii="Arial" w:hAnsi="Arial" w:cs="Arial"/>
          <w:b/>
          <w:color w:val="000000"/>
          <w:sz w:val="32"/>
          <w:szCs w:val="32"/>
          <w:lang w:bidi="th-TH"/>
        </w:rPr>
        <w:t xml:space="preserve">WQRF-funded research </w:t>
      </w:r>
      <w:r w:rsidR="009572DD">
        <w:rPr>
          <w:rFonts w:ascii="Arial" w:hAnsi="Arial" w:cs="Arial"/>
          <w:b/>
          <w:color w:val="000000"/>
          <w:sz w:val="32"/>
          <w:szCs w:val="32"/>
          <w:lang w:bidi="th-TH"/>
        </w:rPr>
        <w:t>demonstrates</w:t>
      </w:r>
      <w:r>
        <w:rPr>
          <w:rFonts w:ascii="Arial" w:hAnsi="Arial" w:cs="Arial"/>
          <w:b/>
          <w:color w:val="000000"/>
          <w:sz w:val="32"/>
          <w:szCs w:val="32"/>
          <w:lang w:bidi="th-TH"/>
        </w:rPr>
        <w:t xml:space="preserve"> cost savings of using in-home devices to reduce health risks in drinking water</w:t>
      </w:r>
    </w:p>
    <w:p w14:paraId="08E7F0AD" w14:textId="11475C63" w:rsidR="002B484E" w:rsidRDefault="0019513A" w:rsidP="00F417F6">
      <w:pPr>
        <w:widowControl w:val="0"/>
        <w:autoSpaceDE w:val="0"/>
        <w:autoSpaceDN w:val="0"/>
        <w:adjustRightInd w:val="0"/>
        <w:rPr>
          <w:rFonts w:ascii="Arial" w:hAnsi="Arial" w:cs="Arial"/>
          <w:i/>
          <w:color w:val="000000"/>
          <w:sz w:val="28"/>
          <w:lang w:bidi="th-TH"/>
        </w:rPr>
      </w:pPr>
      <w:r>
        <w:rPr>
          <w:rFonts w:ascii="Arial" w:hAnsi="Arial" w:cs="Arial"/>
          <w:i/>
          <w:color w:val="000000"/>
          <w:sz w:val="28"/>
          <w:lang w:bidi="th-TH"/>
        </w:rPr>
        <w:t>Research has been published in peer-reviewed scientific journal</w:t>
      </w:r>
    </w:p>
    <w:p w14:paraId="06479D5B" w14:textId="75998A8F" w:rsidR="00472923" w:rsidRDefault="002B484E" w:rsidP="00472923">
      <w:pPr>
        <w:spacing w:before="100" w:beforeAutospacing="1" w:after="100" w:afterAutospacing="1" w:line="276" w:lineRule="auto"/>
        <w:rPr>
          <w:rFonts w:ascii="Georgia" w:hAnsi="Georgia" w:cstheme="minorHAnsi"/>
          <w:sz w:val="22"/>
          <w:szCs w:val="22"/>
        </w:rPr>
      </w:pPr>
      <w:r>
        <w:rPr>
          <w:rFonts w:ascii="Georgia" w:hAnsi="Georgia" w:cs="Arial"/>
          <w:b/>
          <w:bCs/>
          <w:kern w:val="36"/>
          <w:sz w:val="22"/>
          <w:szCs w:val="22"/>
        </w:rPr>
        <w:t>LISLE, Ill.</w:t>
      </w:r>
      <w:r w:rsidR="00F603D5" w:rsidRPr="007756FF">
        <w:rPr>
          <w:rFonts w:ascii="Georgia" w:hAnsi="Georgia" w:cs="Arial"/>
          <w:b/>
          <w:bCs/>
          <w:kern w:val="36"/>
          <w:sz w:val="22"/>
          <w:szCs w:val="22"/>
        </w:rPr>
        <w:t xml:space="preserve"> </w:t>
      </w:r>
      <w:r w:rsidR="00F603D5" w:rsidRPr="007756FF">
        <w:rPr>
          <w:rFonts w:ascii="Georgia" w:hAnsi="Georgia" w:cs="Arial"/>
          <w:bCs/>
          <w:kern w:val="36"/>
          <w:sz w:val="22"/>
          <w:szCs w:val="22"/>
        </w:rPr>
        <w:t xml:space="preserve">– </w:t>
      </w:r>
      <w:r w:rsidR="009572DD">
        <w:rPr>
          <w:rFonts w:ascii="Georgia" w:hAnsi="Georgia" w:cs="Arial"/>
          <w:bCs/>
          <w:kern w:val="36"/>
          <w:sz w:val="22"/>
          <w:szCs w:val="22"/>
        </w:rPr>
        <w:t xml:space="preserve">A </w:t>
      </w:r>
      <w:r w:rsidR="00472923" w:rsidRPr="00472923">
        <w:rPr>
          <w:rFonts w:ascii="Georgia" w:hAnsi="Georgia" w:cstheme="minorHAnsi"/>
          <w:sz w:val="22"/>
          <w:szCs w:val="22"/>
        </w:rPr>
        <w:t xml:space="preserve">Water Quality Research Foundation-funded </w:t>
      </w:r>
      <w:r w:rsidR="009572DD">
        <w:rPr>
          <w:rFonts w:ascii="Georgia" w:hAnsi="Georgia" w:cstheme="minorHAnsi"/>
          <w:sz w:val="22"/>
          <w:szCs w:val="22"/>
        </w:rPr>
        <w:t>study</w:t>
      </w:r>
      <w:r w:rsidR="00472923" w:rsidRPr="00472923">
        <w:rPr>
          <w:rFonts w:ascii="Georgia" w:hAnsi="Georgia" w:cstheme="minorHAnsi"/>
          <w:sz w:val="22"/>
          <w:szCs w:val="22"/>
        </w:rPr>
        <w:t xml:space="preserve"> showing the economic benefits of using point-of-use devices to reduce health risks in drinking water has been published in a peer-reviewed scientific journal.</w:t>
      </w:r>
      <w:bookmarkStart w:id="0" w:name="_GoBack"/>
      <w:bookmarkEnd w:id="0"/>
    </w:p>
    <w:p w14:paraId="43670E74" w14:textId="77777777" w:rsidR="0019513A" w:rsidRDefault="00472923" w:rsidP="00472923">
      <w:pPr>
        <w:spacing w:before="100" w:beforeAutospacing="1" w:after="100" w:afterAutospacing="1" w:line="276" w:lineRule="auto"/>
        <w:rPr>
          <w:rFonts w:ascii="Georgia" w:hAnsi="Georgia" w:cstheme="minorHAnsi"/>
          <w:sz w:val="22"/>
          <w:szCs w:val="22"/>
        </w:rPr>
      </w:pPr>
      <w:r>
        <w:rPr>
          <w:rFonts w:ascii="Georgia" w:hAnsi="Georgia" w:cstheme="minorHAnsi"/>
          <w:sz w:val="22"/>
          <w:szCs w:val="22"/>
        </w:rPr>
        <w:t>“</w:t>
      </w:r>
      <w:r w:rsidR="0019513A">
        <w:rPr>
          <w:rFonts w:ascii="Georgia" w:hAnsi="Georgia" w:cstheme="minorHAnsi"/>
          <w:sz w:val="22"/>
          <w:szCs w:val="22"/>
        </w:rPr>
        <w:t>This is powerful data in terms of cost to society from a drinking water crisis,” said Kim Redden, WQRF Foundation Relations and Research Manager. “</w:t>
      </w:r>
      <w:r>
        <w:rPr>
          <w:rFonts w:ascii="Georgia" w:hAnsi="Georgia" w:cstheme="minorHAnsi"/>
          <w:sz w:val="22"/>
          <w:szCs w:val="22"/>
        </w:rPr>
        <w:t>Having WQRF’s research validated in this way brings even more credibility to the water quality industry and the solutions it provides</w:t>
      </w:r>
      <w:r w:rsidR="0019513A">
        <w:rPr>
          <w:rFonts w:ascii="Georgia" w:hAnsi="Georgia" w:cstheme="minorHAnsi"/>
          <w:sz w:val="22"/>
          <w:szCs w:val="22"/>
        </w:rPr>
        <w:t>.”</w:t>
      </w:r>
    </w:p>
    <w:p w14:paraId="7B508CB2" w14:textId="48C3341B" w:rsidR="00472923" w:rsidRDefault="00472923" w:rsidP="00472923">
      <w:pPr>
        <w:spacing w:before="100" w:beforeAutospacing="1" w:after="100" w:afterAutospacing="1" w:line="276" w:lineRule="auto"/>
        <w:rPr>
          <w:rFonts w:ascii="Georgia" w:hAnsi="Georgia" w:cstheme="minorHAnsi"/>
          <w:sz w:val="22"/>
          <w:szCs w:val="22"/>
        </w:rPr>
      </w:pPr>
      <w:r w:rsidRPr="00472923">
        <w:rPr>
          <w:rFonts w:ascii="Georgia" w:hAnsi="Georgia" w:cstheme="minorHAnsi"/>
          <w:sz w:val="22"/>
          <w:szCs w:val="22"/>
        </w:rPr>
        <w:t>Researchers from the University of Arizona published</w:t>
      </w:r>
      <w:r w:rsidRPr="00472923">
        <w:rPr>
          <w:rStyle w:val="apple-converted-space"/>
          <w:rFonts w:ascii="Georgia" w:hAnsi="Georgia" w:cstheme="minorHAnsi"/>
          <w:sz w:val="22"/>
          <w:szCs w:val="22"/>
        </w:rPr>
        <w:t> </w:t>
      </w:r>
      <w:hyperlink r:id="rId9" w:history="1">
        <w:r w:rsidRPr="00472923">
          <w:rPr>
            <w:rStyle w:val="Hyperlink"/>
            <w:rFonts w:ascii="Georgia" w:hAnsi="Georgia" w:cstheme="minorHAnsi"/>
            <w:i/>
            <w:iCs/>
            <w:sz w:val="22"/>
            <w:szCs w:val="22"/>
          </w:rPr>
          <w:t>The Cost-benefit of POU Devices in Reduction of Health Risks from Drinking Water</w:t>
        </w:r>
      </w:hyperlink>
      <w:r w:rsidRPr="00472923">
        <w:rPr>
          <w:rFonts w:ascii="Georgia" w:hAnsi="Georgia" w:cstheme="minorHAnsi"/>
          <w:sz w:val="22"/>
          <w:szCs w:val="22"/>
        </w:rPr>
        <w:t xml:space="preserve"> in the journal</w:t>
      </w:r>
      <w:r w:rsidRPr="00472923">
        <w:rPr>
          <w:rStyle w:val="apple-converted-space"/>
          <w:rFonts w:ascii="Georgia" w:hAnsi="Georgia" w:cstheme="minorHAnsi"/>
          <w:sz w:val="22"/>
          <w:szCs w:val="22"/>
        </w:rPr>
        <w:t> </w:t>
      </w:r>
      <w:r w:rsidRPr="00472923">
        <w:rPr>
          <w:rFonts w:ascii="Georgia" w:hAnsi="Georgia" w:cstheme="minorHAnsi"/>
          <w:i/>
          <w:iCs/>
          <w:sz w:val="22"/>
          <w:szCs w:val="22"/>
        </w:rPr>
        <w:t>Environmental Research</w:t>
      </w:r>
      <w:r w:rsidRPr="00472923">
        <w:rPr>
          <w:rFonts w:ascii="Georgia" w:hAnsi="Georgia" w:cstheme="minorHAnsi"/>
          <w:sz w:val="22"/>
          <w:szCs w:val="22"/>
        </w:rPr>
        <w:t xml:space="preserve">. The research found in the case study of Flint, Mich., the calculated lifetime loss to the community from drinking water lead exposure is $435 million, whereas a five-year </w:t>
      </w:r>
      <w:r>
        <w:rPr>
          <w:rFonts w:ascii="Georgia" w:hAnsi="Georgia" w:cstheme="minorHAnsi"/>
          <w:sz w:val="22"/>
          <w:szCs w:val="22"/>
        </w:rPr>
        <w:t>in-home</w:t>
      </w:r>
      <w:r w:rsidRPr="00472923">
        <w:rPr>
          <w:rFonts w:ascii="Georgia" w:hAnsi="Georgia" w:cstheme="minorHAnsi"/>
          <w:sz w:val="22"/>
          <w:szCs w:val="22"/>
        </w:rPr>
        <w:t xml:space="preserve"> activated carbon with lead adsorption capabilities community intervention strategy would have cost $11 million.</w:t>
      </w:r>
      <w:r w:rsidR="000966FF">
        <w:rPr>
          <w:rFonts w:ascii="Georgia" w:hAnsi="Georgia" w:cstheme="minorHAnsi"/>
          <w:sz w:val="22"/>
          <w:szCs w:val="22"/>
        </w:rPr>
        <w:t xml:space="preserve"> </w:t>
      </w:r>
      <w:r>
        <w:rPr>
          <w:rFonts w:ascii="Georgia" w:hAnsi="Georgia" w:cstheme="minorHAnsi"/>
          <w:sz w:val="22"/>
          <w:szCs w:val="22"/>
        </w:rPr>
        <w:t xml:space="preserve">A five-year reverse osmosis intervention strategy in every household would have cost $26 million, the research showed. </w:t>
      </w:r>
    </w:p>
    <w:p w14:paraId="03B2D125" w14:textId="3D2B430B" w:rsidR="000966FF" w:rsidRDefault="000966FF" w:rsidP="00472923">
      <w:pPr>
        <w:spacing w:before="100" w:beforeAutospacing="1" w:after="100" w:afterAutospacing="1" w:line="276" w:lineRule="auto"/>
        <w:rPr>
          <w:rFonts w:ascii="Georgia" w:hAnsi="Georgia" w:cstheme="minorHAnsi"/>
          <w:sz w:val="22"/>
          <w:szCs w:val="22"/>
        </w:rPr>
      </w:pPr>
      <w:r>
        <w:rPr>
          <w:rFonts w:ascii="Georgia" w:hAnsi="Georgia" w:cstheme="minorHAnsi"/>
          <w:sz w:val="22"/>
          <w:szCs w:val="22"/>
        </w:rPr>
        <w:t>The study also looked at</w:t>
      </w:r>
      <w:r w:rsidR="00ED6E9B">
        <w:rPr>
          <w:rFonts w:ascii="Georgia" w:hAnsi="Georgia" w:cstheme="minorHAnsi"/>
          <w:sz w:val="22"/>
          <w:szCs w:val="22"/>
        </w:rPr>
        <w:t xml:space="preserve"> the costs of </w:t>
      </w:r>
      <w:r w:rsidR="00B30B0A">
        <w:rPr>
          <w:rFonts w:ascii="Georgia" w:hAnsi="Georgia" w:cstheme="minorHAnsi"/>
          <w:sz w:val="22"/>
          <w:szCs w:val="22"/>
        </w:rPr>
        <w:t xml:space="preserve">mitigating </w:t>
      </w:r>
      <w:r w:rsidR="00B30B0A">
        <w:rPr>
          <w:rFonts w:ascii="Georgia" w:hAnsi="Georgia" w:cstheme="minorHAnsi"/>
          <w:sz w:val="22"/>
          <w:szCs w:val="22"/>
        </w:rPr>
        <w:t xml:space="preserve">microbiological contaminants and several other contaminants holistically, </w:t>
      </w:r>
      <w:r>
        <w:rPr>
          <w:rFonts w:ascii="Georgia" w:hAnsi="Georgia" w:cstheme="minorHAnsi"/>
          <w:sz w:val="22"/>
          <w:szCs w:val="22"/>
        </w:rPr>
        <w:t>resulting in even more favorable economic benefit.</w:t>
      </w:r>
    </w:p>
    <w:p w14:paraId="28F84A2E" w14:textId="1195F607" w:rsidR="000966FF" w:rsidRDefault="000966FF" w:rsidP="000966FF">
      <w:r>
        <w:t>“</w:t>
      </w:r>
      <w:r w:rsidRPr="000966FF">
        <w:t>Consideration of all contaminants listed in this study shows that POU device use in the U.S. is cost beneficial given the wide range of contaminants potentially present in drinking water</w:t>
      </w:r>
      <w:r>
        <w:t>,” the researchers concluded.</w:t>
      </w:r>
    </w:p>
    <w:p w14:paraId="410C2B0E" w14:textId="77777777" w:rsidR="000966FF" w:rsidRPr="00472923" w:rsidRDefault="000966FF" w:rsidP="000966FF">
      <w:pPr>
        <w:rPr>
          <w:rFonts w:ascii="Georgia" w:hAnsi="Georgia" w:cstheme="minorHAnsi"/>
          <w:sz w:val="22"/>
          <w:szCs w:val="22"/>
        </w:rPr>
      </w:pPr>
    </w:p>
    <w:p w14:paraId="66C56218" w14:textId="15F8D8F5" w:rsidR="00472923" w:rsidRPr="00472923" w:rsidRDefault="00472923" w:rsidP="00472923">
      <w:pPr>
        <w:rPr>
          <w:rFonts w:ascii="Georgia" w:hAnsi="Georgia" w:cstheme="minorHAnsi"/>
          <w:sz w:val="22"/>
          <w:szCs w:val="22"/>
        </w:rPr>
      </w:pPr>
      <w:r w:rsidRPr="00472923">
        <w:rPr>
          <w:rFonts w:ascii="Georgia" w:hAnsi="Georgia" w:cstheme="minorHAnsi"/>
          <w:sz w:val="22"/>
          <w:szCs w:val="22"/>
        </w:rPr>
        <w:t xml:space="preserve">An </w:t>
      </w:r>
      <w:hyperlink r:id="rId10" w:history="1">
        <w:r w:rsidRPr="000966FF">
          <w:rPr>
            <w:rStyle w:val="Hyperlink"/>
            <w:rFonts w:ascii="Georgia" w:hAnsi="Georgia" w:cstheme="minorHAnsi"/>
            <w:sz w:val="22"/>
            <w:szCs w:val="22"/>
          </w:rPr>
          <w:t>executive summary</w:t>
        </w:r>
      </w:hyperlink>
      <w:r w:rsidRPr="00472923">
        <w:rPr>
          <w:rFonts w:ascii="Georgia" w:hAnsi="Georgia" w:cstheme="minorHAnsi"/>
          <w:sz w:val="22"/>
          <w:szCs w:val="22"/>
        </w:rPr>
        <w:t xml:space="preserve"> of the project has been posted on the WQRF website. A two-page </w:t>
      </w:r>
      <w:hyperlink r:id="rId11" w:history="1">
        <w:r w:rsidRPr="00435304">
          <w:rPr>
            <w:rStyle w:val="Hyperlink"/>
            <w:rFonts w:ascii="Georgia" w:hAnsi="Georgia" w:cstheme="minorHAnsi"/>
            <w:sz w:val="22"/>
            <w:szCs w:val="22"/>
          </w:rPr>
          <w:t>summary of the research</w:t>
        </w:r>
      </w:hyperlink>
      <w:r w:rsidRPr="00472923">
        <w:rPr>
          <w:rFonts w:ascii="Georgia" w:hAnsi="Georgia" w:cstheme="minorHAnsi"/>
          <w:sz w:val="22"/>
          <w:szCs w:val="22"/>
        </w:rPr>
        <w:t xml:space="preserve"> also is available on WQRF’s website.</w:t>
      </w:r>
    </w:p>
    <w:p w14:paraId="3D511673" w14:textId="24EFDF8A" w:rsidR="00472923" w:rsidRDefault="00472923" w:rsidP="00472923">
      <w:pPr>
        <w:rPr>
          <w:rFonts w:asciiTheme="minorHAnsi" w:hAnsiTheme="minorHAnsi" w:cstheme="minorHAnsi"/>
          <w:sz w:val="22"/>
          <w:szCs w:val="22"/>
        </w:rPr>
      </w:pPr>
    </w:p>
    <w:p w14:paraId="220B9C70" w14:textId="58790DBB" w:rsidR="002B484E" w:rsidRPr="002B484E" w:rsidRDefault="003725A7" w:rsidP="003725A7">
      <w:pPr>
        <w:rPr>
          <w:rFonts w:ascii="Calibri" w:hAnsi="Calibri" w:cs="Calibri"/>
          <w:color w:val="000000"/>
          <w:sz w:val="22"/>
          <w:szCs w:val="22"/>
        </w:rPr>
      </w:pPr>
      <w:r w:rsidRPr="00DA081D">
        <w:rPr>
          <w:rFonts w:ascii="Calibri" w:hAnsi="Calibri" w:cs="Calibri"/>
          <w:color w:val="000000"/>
          <w:sz w:val="22"/>
          <w:szCs w:val="22"/>
        </w:rPr>
        <w:t> </w:t>
      </w:r>
    </w:p>
    <w:p w14:paraId="327D31D5" w14:textId="77777777" w:rsidR="002B484E" w:rsidRPr="002B484E" w:rsidRDefault="002B484E" w:rsidP="002B484E">
      <w:pPr>
        <w:jc w:val="both"/>
        <w:rPr>
          <w:rFonts w:ascii="Calibri" w:hAnsi="Calibri" w:cs="Calibri"/>
          <w:color w:val="000000"/>
          <w:sz w:val="22"/>
          <w:szCs w:val="22"/>
        </w:rPr>
      </w:pPr>
      <w:r w:rsidRPr="002B484E">
        <w:rPr>
          <w:rFonts w:ascii="Calibri" w:hAnsi="Calibri" w:cs="Calibri"/>
          <w:color w:val="000000"/>
          <w:sz w:val="22"/>
          <w:szCs w:val="22"/>
        </w:rPr>
        <w:t> </w:t>
      </w:r>
    </w:p>
    <w:p w14:paraId="02BDDDAE" w14:textId="47E00E2D" w:rsidR="00DA081D" w:rsidRPr="004A16DB" w:rsidRDefault="00DA081D" w:rsidP="00DA081D">
      <w:pPr>
        <w:widowControl w:val="0"/>
        <w:autoSpaceDE w:val="0"/>
        <w:autoSpaceDN w:val="0"/>
        <w:adjustRightInd w:val="0"/>
        <w:rPr>
          <w:rFonts w:ascii="Georgia" w:hAnsi="Georgia" w:cs="Arial"/>
          <w:bCs/>
          <w:i/>
          <w:kern w:val="36"/>
          <w:sz w:val="22"/>
          <w:szCs w:val="22"/>
        </w:rPr>
      </w:pPr>
      <w:r w:rsidRPr="004A16DB">
        <w:rPr>
          <w:rFonts w:ascii="Georgia" w:hAnsi="Georgia" w:cs="Arial"/>
          <w:bCs/>
          <w:i/>
          <w:kern w:val="36"/>
          <w:sz w:val="22"/>
          <w:szCs w:val="22"/>
        </w:rPr>
        <w:t xml:space="preserve">The </w:t>
      </w:r>
      <w:hyperlink r:id="rId12"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1949 to serve on behalf of the Water Quality Association (WQA) as a universally recognized, independent research organization. The long-term goal of WQRF is to achieve sustained growth to conduct and fund scientific research on subjects relating to the water quality improvement industry.</w:t>
      </w:r>
    </w:p>
    <w:p w14:paraId="10835A6E" w14:textId="77777777" w:rsidR="0019513A" w:rsidRDefault="0019513A" w:rsidP="0019513A">
      <w:pPr>
        <w:widowControl w:val="0"/>
        <w:autoSpaceDE w:val="0"/>
        <w:autoSpaceDN w:val="0"/>
        <w:adjustRightInd w:val="0"/>
        <w:rPr>
          <w:rFonts w:ascii="Georgia" w:hAnsi="Georgia"/>
          <w:i/>
        </w:rPr>
      </w:pPr>
    </w:p>
    <w:p w14:paraId="04085B20" w14:textId="77777777" w:rsidR="00ED6E9B" w:rsidRDefault="0019513A" w:rsidP="00ED6E9B">
      <w:pPr>
        <w:widowControl w:val="0"/>
        <w:autoSpaceDE w:val="0"/>
        <w:autoSpaceDN w:val="0"/>
        <w:adjustRightInd w:val="0"/>
        <w:rPr>
          <w:rFonts w:ascii="Georgia" w:hAnsi="Georgia"/>
          <w:i/>
          <w:sz w:val="22"/>
          <w:szCs w:val="22"/>
        </w:rPr>
      </w:pPr>
      <w:r w:rsidRPr="0019513A">
        <w:rPr>
          <w:rFonts w:ascii="Georgia" w:hAnsi="Georgia"/>
          <w:i/>
          <w:sz w:val="22"/>
          <w:szCs w:val="22"/>
        </w:rPr>
        <w:t xml:space="preserve">WQA is a not-for-profit </w:t>
      </w:r>
      <w:hyperlink r:id="rId13" w:history="1">
        <w:r w:rsidRPr="0019513A">
          <w:rPr>
            <w:rStyle w:val="Hyperlink"/>
            <w:rFonts w:ascii="Georgia" w:hAnsi="Georgia"/>
            <w:i/>
            <w:sz w:val="22"/>
            <w:szCs w:val="22"/>
          </w:rPr>
          <w:t>trade association</w:t>
        </w:r>
      </w:hyperlink>
      <w:r w:rsidRPr="0019513A">
        <w:rPr>
          <w:rFonts w:ascii="Georgia" w:hAnsi="Georgia"/>
          <w:i/>
          <w:sz w:val="22"/>
          <w:szCs w:val="22"/>
        </w:rPr>
        <w:t xml:space="preserve"> representing the residential, commercial, and industrial water treatment industry. </w:t>
      </w:r>
      <w:r w:rsidRPr="0019513A">
        <w:rPr>
          <w:rFonts w:ascii="Georgia" w:hAnsi="Georgia" w:cstheme="minorHAnsi"/>
          <w:i/>
          <w:sz w:val="22"/>
          <w:szCs w:val="22"/>
        </w:rPr>
        <w:t xml:space="preserve">WQA’s </w:t>
      </w:r>
      <w:hyperlink r:id="rId14" w:history="1">
        <w:r w:rsidRPr="0019513A">
          <w:rPr>
            <w:rStyle w:val="Hyperlink"/>
            <w:rFonts w:ascii="Georgia" w:hAnsi="Georgia"/>
            <w:i/>
            <w:sz w:val="22"/>
            <w:szCs w:val="22"/>
          </w:rPr>
          <w:t>education and professional certification programs</w:t>
        </w:r>
      </w:hyperlink>
      <w:r w:rsidRPr="0019513A">
        <w:rPr>
          <w:rStyle w:val="Hyperlink"/>
          <w:rFonts w:ascii="Georgia" w:hAnsi="Georgia"/>
          <w:i/>
          <w:sz w:val="22"/>
          <w:szCs w:val="22"/>
        </w:rPr>
        <w:t xml:space="preserve"> </w:t>
      </w:r>
      <w:r w:rsidRPr="0019513A">
        <w:rPr>
          <w:rFonts w:ascii="Georgia" w:hAnsi="Georgia" w:cstheme="minorHAnsi"/>
          <w:i/>
          <w:sz w:val="22"/>
          <w:szCs w:val="22"/>
        </w:rPr>
        <w:t xml:space="preserve">have been providing industry-standardized training and credentialing since 1977. </w:t>
      </w:r>
      <w:r w:rsidRPr="0019513A">
        <w:rPr>
          <w:rFonts w:ascii="Georgia" w:hAnsi="Georgia"/>
          <w:i/>
          <w:sz w:val="22"/>
          <w:szCs w:val="22"/>
        </w:rPr>
        <w:t xml:space="preserve"> The </w:t>
      </w:r>
      <w:hyperlink r:id="rId15" w:history="1">
        <w:r w:rsidRPr="0019513A">
          <w:rPr>
            <w:rStyle w:val="Hyperlink"/>
            <w:rFonts w:ascii="Georgia" w:hAnsi="Georgia"/>
            <w:i/>
            <w:sz w:val="22"/>
            <w:szCs w:val="22"/>
          </w:rPr>
          <w:t>WQA Gold Seal certification program</w:t>
        </w:r>
      </w:hyperlink>
      <w:r w:rsidRPr="0019513A">
        <w:rPr>
          <w:rFonts w:ascii="Georgia" w:hAnsi="Georgia"/>
          <w:i/>
          <w:sz w:val="22"/>
          <w:szCs w:val="22"/>
        </w:rPr>
        <w:t xml:space="preserve"> has been certifying products that contribute to the safe consumption of water since 1959. The WQA Gold Seal program is accredited by the American National Standards Institute (ANSI) and the Standards Council of Canada (SCC).   </w:t>
      </w:r>
    </w:p>
    <w:p w14:paraId="5D3C701E" w14:textId="7E7FB324" w:rsidR="00BB7859" w:rsidRPr="007756FF" w:rsidRDefault="006C28F2" w:rsidP="00ED6E9B">
      <w:pPr>
        <w:widowControl w:val="0"/>
        <w:autoSpaceDE w:val="0"/>
        <w:autoSpaceDN w:val="0"/>
        <w:adjustRightInd w:val="0"/>
        <w:jc w:val="center"/>
        <w:rPr>
          <w:rFonts w:ascii="Georgia" w:hAnsi="Georgia" w:cstheme="minorHAnsi"/>
          <w:i/>
          <w:sz w:val="22"/>
          <w:szCs w:val="22"/>
        </w:rPr>
      </w:pPr>
      <w:r w:rsidRPr="006C28F2">
        <w:rPr>
          <w:rFonts w:ascii="Georgia" w:hAnsi="Georgia" w:cstheme="minorHAnsi"/>
          <w:b/>
          <w:sz w:val="22"/>
          <w:szCs w:val="22"/>
        </w:rPr>
        <w:t>Wq</w:t>
      </w:r>
      <w:r w:rsidR="003725A7">
        <w:rPr>
          <w:rFonts w:ascii="Georgia" w:hAnsi="Georgia" w:cstheme="minorHAnsi"/>
          <w:b/>
          <w:sz w:val="22"/>
          <w:szCs w:val="22"/>
        </w:rPr>
        <w:t>rf</w:t>
      </w:r>
      <w:r w:rsidRPr="006C28F2">
        <w:rPr>
          <w:rFonts w:ascii="Georgia" w:hAnsi="Georgia" w:cstheme="minorHAnsi"/>
          <w:b/>
          <w:sz w:val="22"/>
          <w:szCs w:val="22"/>
        </w:rPr>
        <w:t>.org</w:t>
      </w:r>
      <w:r w:rsidR="000A513F">
        <w:rPr>
          <w:rFonts w:ascii="Georgia" w:hAnsi="Georgia" w:cstheme="minorHAnsi"/>
          <w:b/>
          <w:sz w:val="22"/>
          <w:szCs w:val="22"/>
        </w:rPr>
        <w:br/>
      </w:r>
      <w:r w:rsidR="00F603D5" w:rsidRPr="007756FF">
        <w:rPr>
          <w:rFonts w:ascii="Georgia" w:hAnsi="Georgia" w:cstheme="minorHAnsi"/>
          <w:i/>
          <w:sz w:val="22"/>
          <w:szCs w:val="22"/>
        </w:rPr>
        <w:t># # #</w:t>
      </w:r>
    </w:p>
    <w:sectPr w:rsidR="00BB7859"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3B8D" w14:textId="77777777" w:rsidR="002D757C" w:rsidRDefault="002D757C" w:rsidP="00206DDA">
      <w:r>
        <w:separator/>
      </w:r>
    </w:p>
  </w:endnote>
  <w:endnote w:type="continuationSeparator" w:id="0">
    <w:p w14:paraId="7235F051" w14:textId="77777777" w:rsidR="002D757C" w:rsidRDefault="002D757C"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04353" w14:textId="77777777" w:rsidR="002D757C" w:rsidRDefault="002D757C" w:rsidP="00206DDA">
      <w:r>
        <w:separator/>
      </w:r>
    </w:p>
  </w:footnote>
  <w:footnote w:type="continuationSeparator" w:id="0">
    <w:p w14:paraId="1D956688" w14:textId="77777777" w:rsidR="002D757C" w:rsidRDefault="002D757C"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F9"/>
    <w:rsid w:val="00004CD3"/>
    <w:rsid w:val="0002289C"/>
    <w:rsid w:val="00064417"/>
    <w:rsid w:val="000818FD"/>
    <w:rsid w:val="000828C2"/>
    <w:rsid w:val="000966FF"/>
    <w:rsid w:val="000A513F"/>
    <w:rsid w:val="000A7369"/>
    <w:rsid w:val="000B7215"/>
    <w:rsid w:val="000D5287"/>
    <w:rsid w:val="000E6738"/>
    <w:rsid w:val="000E7F51"/>
    <w:rsid w:val="00103981"/>
    <w:rsid w:val="00131C07"/>
    <w:rsid w:val="0013236D"/>
    <w:rsid w:val="001364E7"/>
    <w:rsid w:val="00157BF3"/>
    <w:rsid w:val="00164AF5"/>
    <w:rsid w:val="001875CD"/>
    <w:rsid w:val="0019513A"/>
    <w:rsid w:val="001B317A"/>
    <w:rsid w:val="001B7B37"/>
    <w:rsid w:val="001C2DCA"/>
    <w:rsid w:val="00206DDA"/>
    <w:rsid w:val="00213242"/>
    <w:rsid w:val="00235BF3"/>
    <w:rsid w:val="002459DF"/>
    <w:rsid w:val="0026640D"/>
    <w:rsid w:val="00295D9E"/>
    <w:rsid w:val="002A3395"/>
    <w:rsid w:val="002B12B8"/>
    <w:rsid w:val="002B484E"/>
    <w:rsid w:val="002C3B73"/>
    <w:rsid w:val="002D757C"/>
    <w:rsid w:val="002E32B8"/>
    <w:rsid w:val="002E3721"/>
    <w:rsid w:val="002E6C3E"/>
    <w:rsid w:val="002F6454"/>
    <w:rsid w:val="0034383C"/>
    <w:rsid w:val="00353AC4"/>
    <w:rsid w:val="0036567A"/>
    <w:rsid w:val="003725A7"/>
    <w:rsid w:val="0038518F"/>
    <w:rsid w:val="003A103F"/>
    <w:rsid w:val="003F1AF4"/>
    <w:rsid w:val="00413799"/>
    <w:rsid w:val="004236B2"/>
    <w:rsid w:val="00424310"/>
    <w:rsid w:val="00435304"/>
    <w:rsid w:val="004427BC"/>
    <w:rsid w:val="0045203D"/>
    <w:rsid w:val="00452A50"/>
    <w:rsid w:val="00472923"/>
    <w:rsid w:val="00480875"/>
    <w:rsid w:val="004B07F2"/>
    <w:rsid w:val="004B4A8B"/>
    <w:rsid w:val="004B53BE"/>
    <w:rsid w:val="004D5D0B"/>
    <w:rsid w:val="004F063C"/>
    <w:rsid w:val="004F4453"/>
    <w:rsid w:val="00500096"/>
    <w:rsid w:val="0051197E"/>
    <w:rsid w:val="005126AE"/>
    <w:rsid w:val="005937F7"/>
    <w:rsid w:val="00594FE7"/>
    <w:rsid w:val="005A4B77"/>
    <w:rsid w:val="005B6C9D"/>
    <w:rsid w:val="005D5FF9"/>
    <w:rsid w:val="005D7FAD"/>
    <w:rsid w:val="005E005A"/>
    <w:rsid w:val="005F232C"/>
    <w:rsid w:val="00614A4E"/>
    <w:rsid w:val="00621B4F"/>
    <w:rsid w:val="00636C29"/>
    <w:rsid w:val="00640144"/>
    <w:rsid w:val="00687D40"/>
    <w:rsid w:val="00692280"/>
    <w:rsid w:val="00696523"/>
    <w:rsid w:val="006A118A"/>
    <w:rsid w:val="006B35EB"/>
    <w:rsid w:val="006C28F2"/>
    <w:rsid w:val="006D5E1D"/>
    <w:rsid w:val="006E4D42"/>
    <w:rsid w:val="006E6979"/>
    <w:rsid w:val="006F4846"/>
    <w:rsid w:val="00704476"/>
    <w:rsid w:val="00707370"/>
    <w:rsid w:val="00713FEF"/>
    <w:rsid w:val="007428D8"/>
    <w:rsid w:val="0074683B"/>
    <w:rsid w:val="00766B7B"/>
    <w:rsid w:val="007756FF"/>
    <w:rsid w:val="00782646"/>
    <w:rsid w:val="0078439E"/>
    <w:rsid w:val="00791A72"/>
    <w:rsid w:val="007B0A4B"/>
    <w:rsid w:val="007F204B"/>
    <w:rsid w:val="008061CE"/>
    <w:rsid w:val="0081208F"/>
    <w:rsid w:val="008262B5"/>
    <w:rsid w:val="008274B9"/>
    <w:rsid w:val="00843CD2"/>
    <w:rsid w:val="008562EC"/>
    <w:rsid w:val="0086557E"/>
    <w:rsid w:val="00870D72"/>
    <w:rsid w:val="008A0C0D"/>
    <w:rsid w:val="008A1210"/>
    <w:rsid w:val="008A7CAE"/>
    <w:rsid w:val="008C0132"/>
    <w:rsid w:val="008C356C"/>
    <w:rsid w:val="008C3D5F"/>
    <w:rsid w:val="008C41F7"/>
    <w:rsid w:val="008E0FBD"/>
    <w:rsid w:val="00913244"/>
    <w:rsid w:val="00921989"/>
    <w:rsid w:val="00925D11"/>
    <w:rsid w:val="0094782B"/>
    <w:rsid w:val="00951CFB"/>
    <w:rsid w:val="00952BC7"/>
    <w:rsid w:val="00956E73"/>
    <w:rsid w:val="009572DD"/>
    <w:rsid w:val="00964AE1"/>
    <w:rsid w:val="00971FD6"/>
    <w:rsid w:val="00977E99"/>
    <w:rsid w:val="00977EBA"/>
    <w:rsid w:val="00980FDC"/>
    <w:rsid w:val="00981283"/>
    <w:rsid w:val="009951FE"/>
    <w:rsid w:val="009962C7"/>
    <w:rsid w:val="009C376F"/>
    <w:rsid w:val="009C5A03"/>
    <w:rsid w:val="00A40D5C"/>
    <w:rsid w:val="00A500F0"/>
    <w:rsid w:val="00A5170F"/>
    <w:rsid w:val="00A528B4"/>
    <w:rsid w:val="00A64998"/>
    <w:rsid w:val="00A7035C"/>
    <w:rsid w:val="00AA628D"/>
    <w:rsid w:val="00AC1804"/>
    <w:rsid w:val="00AC35C8"/>
    <w:rsid w:val="00AC402E"/>
    <w:rsid w:val="00AC6D9E"/>
    <w:rsid w:val="00B17675"/>
    <w:rsid w:val="00B21155"/>
    <w:rsid w:val="00B30B0A"/>
    <w:rsid w:val="00B41A85"/>
    <w:rsid w:val="00B52312"/>
    <w:rsid w:val="00B55071"/>
    <w:rsid w:val="00B9314C"/>
    <w:rsid w:val="00BA7FF1"/>
    <w:rsid w:val="00BB7859"/>
    <w:rsid w:val="00BB7890"/>
    <w:rsid w:val="00BC34E4"/>
    <w:rsid w:val="00BC4157"/>
    <w:rsid w:val="00BD668D"/>
    <w:rsid w:val="00BF3A8A"/>
    <w:rsid w:val="00C0309C"/>
    <w:rsid w:val="00C116C4"/>
    <w:rsid w:val="00C1259D"/>
    <w:rsid w:val="00C1666D"/>
    <w:rsid w:val="00C3414F"/>
    <w:rsid w:val="00C37455"/>
    <w:rsid w:val="00C50B36"/>
    <w:rsid w:val="00C646E2"/>
    <w:rsid w:val="00C711F2"/>
    <w:rsid w:val="00C72F92"/>
    <w:rsid w:val="00C74DD4"/>
    <w:rsid w:val="00C76B69"/>
    <w:rsid w:val="00C93F12"/>
    <w:rsid w:val="00CB61CD"/>
    <w:rsid w:val="00CD3C00"/>
    <w:rsid w:val="00CD48FE"/>
    <w:rsid w:val="00CD7DBA"/>
    <w:rsid w:val="00CE1B66"/>
    <w:rsid w:val="00CE3628"/>
    <w:rsid w:val="00CE4FFE"/>
    <w:rsid w:val="00D048FE"/>
    <w:rsid w:val="00D5085E"/>
    <w:rsid w:val="00D60FD3"/>
    <w:rsid w:val="00D81B17"/>
    <w:rsid w:val="00D93C58"/>
    <w:rsid w:val="00DA081D"/>
    <w:rsid w:val="00DA589E"/>
    <w:rsid w:val="00DB1093"/>
    <w:rsid w:val="00DB2A55"/>
    <w:rsid w:val="00DB716A"/>
    <w:rsid w:val="00DB7A29"/>
    <w:rsid w:val="00DC2B25"/>
    <w:rsid w:val="00DC3E20"/>
    <w:rsid w:val="00DC60C4"/>
    <w:rsid w:val="00DF3D29"/>
    <w:rsid w:val="00DF4CD4"/>
    <w:rsid w:val="00E01F7F"/>
    <w:rsid w:val="00E022CF"/>
    <w:rsid w:val="00E1639F"/>
    <w:rsid w:val="00E270B1"/>
    <w:rsid w:val="00E43F53"/>
    <w:rsid w:val="00E66474"/>
    <w:rsid w:val="00E777F7"/>
    <w:rsid w:val="00EA1BFC"/>
    <w:rsid w:val="00ED5C37"/>
    <w:rsid w:val="00ED6E9B"/>
    <w:rsid w:val="00EE6224"/>
    <w:rsid w:val="00F30AAF"/>
    <w:rsid w:val="00F368F5"/>
    <w:rsid w:val="00F417F6"/>
    <w:rsid w:val="00F4628E"/>
    <w:rsid w:val="00F575B8"/>
    <w:rsid w:val="00F603D5"/>
    <w:rsid w:val="00F70528"/>
    <w:rsid w:val="00F829D3"/>
    <w:rsid w:val="00F85863"/>
    <w:rsid w:val="00F86E0C"/>
    <w:rsid w:val="00F87BC0"/>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0EBD7"/>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D5F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2098706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qa.org/memb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qr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qrf.org/uploads/8/3/5/5/83551838/2018_costbenefit_leadreduction.pdf" TargetMode="External"/><Relationship Id="rId5" Type="http://schemas.openxmlformats.org/officeDocument/2006/relationships/webSettings" Target="webSettings.xml"/><Relationship Id="rId15" Type="http://schemas.openxmlformats.org/officeDocument/2006/relationships/hyperlink" Target="https://www.wqa.org/product-cert" TargetMode="External"/><Relationship Id="rId10" Type="http://schemas.openxmlformats.org/officeDocument/2006/relationships/hyperlink" Target="https://www.wqrf.org/uploads/8/3/5/5/83551838/2017_costbenefit_execsummary.pdf" TargetMode="External"/><Relationship Id="rId4" Type="http://schemas.openxmlformats.org/officeDocument/2006/relationships/settings" Target="settings.xml"/><Relationship Id="rId9" Type="http://schemas.openxmlformats.org/officeDocument/2006/relationships/hyperlink" Target="https://www.sciencedirect.com/science/article/pii/S0013935119300180?via%3Dihub" TargetMode="External"/><Relationship Id="rId14" Type="http://schemas.openxmlformats.org/officeDocument/2006/relationships/hyperlink" Target="https://www.wqa.org/profc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380D-F78F-FA46-8B33-10CB64A4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Mann</dc:creator>
  <cp:lastModifiedBy>Susan Keaton</cp:lastModifiedBy>
  <cp:revision>11</cp:revision>
  <dcterms:created xsi:type="dcterms:W3CDTF">2019-06-13T19:14:00Z</dcterms:created>
  <dcterms:modified xsi:type="dcterms:W3CDTF">2019-06-13T21:06:00Z</dcterms:modified>
</cp:coreProperties>
</file>